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1A" w:rsidRPr="0009681A" w:rsidRDefault="0009681A" w:rsidP="0009681A">
      <w:pPr>
        <w:shd w:val="clear" w:color="auto" w:fill="FFFFFF"/>
        <w:spacing w:before="375" w:after="0" w:line="270" w:lineRule="atLeast"/>
        <w:jc w:val="center"/>
        <w:rPr>
          <w:rFonts w:ascii="Tahoma" w:eastAsia="Times New Roman" w:hAnsi="Tahoma" w:cs="Tahoma"/>
          <w:b/>
          <w:bCs/>
          <w:sz w:val="31"/>
          <w:szCs w:val="31"/>
          <w:lang w:eastAsia="ru-RU"/>
        </w:rPr>
      </w:pPr>
      <w:r w:rsidRPr="0009681A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Соглашение между Правительством Республики Казахстан, Правительством </w:t>
      </w:r>
      <w:proofErr w:type="spellStart"/>
      <w:r w:rsidRPr="0009681A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>Кыргызской</w:t>
      </w:r>
      <w:proofErr w:type="spellEnd"/>
      <w:r w:rsidRPr="0009681A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 Республики,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от 17 июня 1999 года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Правительство Республики Казахстан, Правительство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Кыргызской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Республики, Правительство Республики Таджикистан и Правительство Республики Узбекистан, именуемые в дальнейшем Стороны, исходя из многовековой общности исторического развития, традиционных экономических и научно-технических связей, преисполненные решимостью строить свои межгосударственные отношения на основе взаимопонимания, справедливости и равенства;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понимая, что укрепление дружественных отношений, добрососедства, сотрудничества и взаимопомощи между Сторонами отвечает коренным интересам народов Центральной Азии;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признавая тот факт, что энергетический комплекс Центральной Азии десятилетиями функционирует как единая энергетическая система; считая важным создание благоприятных условий для развития рыночных отношений между хозяйствующими субъектами и формирование единого рынка электроэнергии в перспективе;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стремясь к созданию наиболее надежных и экономичных режимов электроснабжения потребителей;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соблюдая принципы Европейской Энергетической Хартии, подписанной в Гааге 17 декабря 1991 года, согласились о нижеследующем: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Стороны, исходя из необходимости и экономической целесообразности обеспечения эффективной работы своих энергетических систем, используя существующие возможности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системообразующих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линий электропередачи, обязуются создавать благоприятные условия для развития и реализации преимуществ параллельной работы энергетических систем и воздерживаться от действий, способных нанести ущерб интересам другой Стороны.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" w:name="A000000002"/>
      <w:bookmarkEnd w:id="1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2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Стороны согласились в целях формирования единого рынка электрической энергии и мощности </w:t>
      </w:r>
      <w:proofErr w:type="gram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считать целесообразным рассмотреть</w:t>
      </w:r>
      <w:proofErr w:type="gram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вопрос создания регионального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Энергопула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в Центральной Азии.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2" w:name="A000000003"/>
      <w:bookmarkEnd w:id="2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3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Стороны согласились, что: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- параллельная работа обеспечивает надежную и эффективную работу энергетических систем в составе Объединенной энергетической системы Центральной Азии (ОЭС ЦА);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- под Объединенной энергетической системой понимается совокупность энергетических систем государств,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энергопроизводителей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, электрических сетей, объединившихся на добровольной основе с целью обеспечения условий эффективного и надежного электроснабжения потребителей при максимальном использовании преимуществ параллельной работы энергетических систем;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- каждая из Сторон самостоятельно определяет схему и объем своих сетей для параллельной работы с ОЭС ЦА исходя из своих национальных интересов.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3" w:name="A000000004"/>
      <w:bookmarkEnd w:id="3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4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Стороны при рассмотрении вопроса использования ОЭС Центральной Азии исходят из того, что надежное и экономичное электроснабжение потребителей и создание рынка электрической энергии и мощности обеспечивается при взаимно согласованной технической и экономической политике.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4" w:name="A000000005"/>
      <w:bookmarkEnd w:id="4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5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Параллельная работа энергетических систем государств Центральной Азии осуществляется по действующим и вновь сооружаемым межсистемным линиям электропередачи 500-220 кВ.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Необходимым условием параллельной работы является принцип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самобалансирования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по электрической мощности и энергии каждой энергосистемы ОЭС Центральной Азии с учетом заключаемых договоров. Реализация режима работы энергетических систем осуществляется обеспечением запланированных взаимных поставок электрической энергии и мощности с учетом пропускной способности электрической сети.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5" w:name="A000000006"/>
      <w:bookmarkEnd w:id="5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6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Стороны эксплуатируют и технически обслуживают межгосударственные линии электропередачи согласно их балансовой принадлежности.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6" w:name="A000000007"/>
      <w:bookmarkEnd w:id="6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7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Стороны договорились принимать согласованные меры по осуществлению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перетоков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и соглашений о транзите, а также не допускать несанкционированных отборов электрической энергии потребителями.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7" w:name="A000000008"/>
      <w:bookmarkEnd w:id="7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8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Стороны обязуются в аварийных и чрезвычайных ситуациях оказывать взаимную помощь для устранения аварий на энергетических объектах и восстановления нормального энергоснабжения потребителей.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8" w:name="A000000009"/>
      <w:bookmarkEnd w:id="8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9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Стороны согласились принять согласованное решение о режиме беспрепятственного и беспошлинного пропуска на свою территорию эксплуатационного и ремонтного персонала, техники и материалов другой Стороны для обслуживания линий электропередачи.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9" w:name="A000000010"/>
      <w:bookmarkEnd w:id="9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10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Стороны согласились принять согласованное решение о неприменении таможенных пошлин, налогов и иных сборов, подлежащих уплате в бюджет, на </w:t>
      </w:r>
      <w:proofErr w:type="spellStart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переток</w:t>
      </w:r>
      <w:proofErr w:type="spellEnd"/>
      <w:r w:rsidRPr="0009681A">
        <w:rPr>
          <w:rFonts w:ascii="Tahoma" w:eastAsia="Times New Roman" w:hAnsi="Tahoma" w:cs="Tahoma"/>
          <w:sz w:val="20"/>
          <w:szCs w:val="20"/>
          <w:lang w:eastAsia="ru-RU"/>
        </w:rPr>
        <w:t xml:space="preserve"> и транзит электроэнергии, осуществляемых по межгосударственным линиям электропередачи, а также за услуги по регулированию частоты.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0" w:name="A000000011"/>
      <w:bookmarkEnd w:id="10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11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Любые спорные вопросы относительно толкования или применения настоящего Соглашения будут разрешаться путем взаимных консультаций и переговоров.</w:t>
      </w:r>
    </w:p>
    <w:p w:rsidR="0009681A" w:rsidRPr="0009681A" w:rsidRDefault="0009681A" w:rsidP="0009681A">
      <w:pPr>
        <w:shd w:val="clear" w:color="auto" w:fill="FFFFFF"/>
        <w:spacing w:before="300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1" w:name="A000000012"/>
      <w:bookmarkEnd w:id="11"/>
      <w:r w:rsidRPr="0009681A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12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Настоящее Соглашение может быть изменено или дополнено по взаимному согласию Сторон.</w:t>
      </w:r>
    </w:p>
    <w:p w:rsidR="0009681A" w:rsidRPr="0009681A" w:rsidRDefault="0009681A" w:rsidP="0009681A">
      <w:pPr>
        <w:shd w:val="clear" w:color="auto" w:fill="FFFFFF"/>
        <w:spacing w:before="105" w:after="0" w:line="270" w:lineRule="atLeast"/>
        <w:ind w:firstLine="450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09681A">
        <w:rPr>
          <w:rFonts w:ascii="Tahoma" w:eastAsia="Times New Roman" w:hAnsi="Tahoma" w:cs="Tahoma"/>
          <w:sz w:val="20"/>
          <w:szCs w:val="20"/>
          <w:lang w:eastAsia="ru-RU"/>
        </w:rPr>
        <w:t>Изменения и дополнения оформляются отдельными протоколами, являющимися неотъемлемой частью настоящего Соглашения.</w:t>
      </w:r>
    </w:p>
    <w:p w:rsidR="006723B5" w:rsidRDefault="006723B5"/>
    <w:p w:rsidR="0009681A" w:rsidRDefault="0009681A"/>
    <w:p w:rsidR="0009681A" w:rsidRPr="0009681A" w:rsidRDefault="0009681A" w:rsidP="0009681A">
      <w:pPr>
        <w:shd w:val="clear" w:color="auto" w:fill="FFFFFF"/>
        <w:spacing w:before="300" w:after="0" w:line="264" w:lineRule="atLeast"/>
        <w:jc w:val="center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r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Текст неполный!</w:t>
      </w:r>
    </w:p>
    <w:p w:rsidR="0009681A" w:rsidRPr="0009681A" w:rsidRDefault="0009681A"/>
    <w:sectPr w:rsidR="0009681A" w:rsidRPr="0009681A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09681A"/>
    <w:rsid w:val="0009681A"/>
    <w:rsid w:val="006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6">
    <w:name w:val="heading 6"/>
    <w:basedOn w:val="a"/>
    <w:link w:val="60"/>
    <w:uiPriority w:val="9"/>
    <w:qFormat/>
    <w:rsid w:val="000968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9681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0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0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2015-07-15T11:42:00Z</dcterms:created>
  <dcterms:modified xsi:type="dcterms:W3CDTF">2015-07-15T11:43:00Z</dcterms:modified>
</cp:coreProperties>
</file>